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EB1D45" w14:textId="77777777" w:rsidR="004A7694" w:rsidRPr="004E0ECA" w:rsidRDefault="00EA018D">
      <w:p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General anaesthesia and sedation</w:t>
      </w:r>
    </w:p>
    <w:p w14:paraId="4CCEC00D" w14:textId="77777777" w:rsidR="00EA018D" w:rsidRPr="004E0ECA" w:rsidRDefault="00EA018D" w:rsidP="00EA018D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GS 1.1 Pharmacology of sedative/hypnotics, inhalational agents, opioids, muscle relaxants, reversal drugs, antiemetic agents</w:t>
      </w:r>
    </w:p>
    <w:p w14:paraId="32AA806D" w14:textId="77777777" w:rsidR="005407BD" w:rsidRPr="004E0ECA" w:rsidRDefault="002D5DCA" w:rsidP="005407BD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See other texts</w:t>
      </w:r>
    </w:p>
    <w:p w14:paraId="520D96EF" w14:textId="77777777" w:rsidR="00EA018D" w:rsidRPr="004E0ECA" w:rsidRDefault="00EA018D" w:rsidP="00EA018D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GS 1.2 Outline the process of induction, maintenance and emergence</w:t>
      </w:r>
    </w:p>
    <w:p w14:paraId="6E6437A5" w14:textId="77777777" w:rsidR="00EA018D" w:rsidRPr="004E0ECA" w:rsidRDefault="00EA018D" w:rsidP="00EA018D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GS 1.3 Preop fasting requirements, aspiration risk, management of these</w:t>
      </w:r>
    </w:p>
    <w:p w14:paraId="15B7B991" w14:textId="77777777" w:rsidR="00EA018D" w:rsidRPr="004E0ECA" w:rsidRDefault="00EA018D" w:rsidP="00EA018D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GS 1.4 Indications for RSI</w:t>
      </w:r>
    </w:p>
    <w:p w14:paraId="4456B6A2" w14:textId="77777777" w:rsidR="00EA018D" w:rsidRPr="004E0ECA" w:rsidRDefault="00EA018D" w:rsidP="00EA018D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 xml:space="preserve">GS 1.5 Chemical composition of crystalloids and colloids and effect when used in </w:t>
      </w:r>
      <w:proofErr w:type="spellStart"/>
      <w:r w:rsidRPr="004E0ECA">
        <w:rPr>
          <w:rFonts w:ascii="Calibri" w:hAnsi="Calibri"/>
          <w:sz w:val="20"/>
          <w:szCs w:val="20"/>
        </w:rPr>
        <w:t>rescusitation</w:t>
      </w:r>
      <w:proofErr w:type="spellEnd"/>
    </w:p>
    <w:p w14:paraId="4DA93F37" w14:textId="77777777" w:rsidR="00B543F8" w:rsidRPr="004E0ECA" w:rsidRDefault="004E0ECA" w:rsidP="00B543F8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noProof/>
          <w:sz w:val="20"/>
          <w:szCs w:val="20"/>
          <w:lang w:val="en-US"/>
        </w:rPr>
        <w:drawing>
          <wp:anchor distT="0" distB="0" distL="114300" distR="114300" simplePos="0" relativeHeight="251658240" behindDoc="0" locked="0" layoutInCell="1" allowOverlap="1" wp14:anchorId="086431A8" wp14:editId="06D1B4B4">
            <wp:simplePos x="0" y="0"/>
            <wp:positionH relativeFrom="column">
              <wp:posOffset>-202565</wp:posOffset>
            </wp:positionH>
            <wp:positionV relativeFrom="paragraph">
              <wp:posOffset>362585</wp:posOffset>
            </wp:positionV>
            <wp:extent cx="7041515" cy="351599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1515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43F8" w:rsidRPr="004E0ECA">
        <w:rPr>
          <w:rFonts w:ascii="Calibri" w:hAnsi="Calibri"/>
          <w:sz w:val="20"/>
          <w:szCs w:val="20"/>
        </w:rPr>
        <w:t>Crystalloids:</w:t>
      </w:r>
    </w:p>
    <w:p w14:paraId="70EAFD11" w14:textId="77777777" w:rsidR="00B543F8" w:rsidRPr="004E0ECA" w:rsidRDefault="00B543F8" w:rsidP="00095023">
      <w:pPr>
        <w:rPr>
          <w:rFonts w:ascii="Calibri" w:hAnsi="Calibri"/>
          <w:sz w:val="20"/>
          <w:szCs w:val="20"/>
        </w:rPr>
      </w:pPr>
    </w:p>
    <w:p w14:paraId="01FB5816" w14:textId="77777777" w:rsidR="004E0ECA" w:rsidRDefault="004E0EC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br w:type="page"/>
      </w:r>
    </w:p>
    <w:p w14:paraId="226EEE7B" w14:textId="77777777" w:rsidR="00B543F8" w:rsidRPr="004E0ECA" w:rsidRDefault="00B543F8" w:rsidP="004E0ECA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lastRenderedPageBreak/>
        <w:t>Colloids:</w:t>
      </w:r>
    </w:p>
    <w:tbl>
      <w:tblPr>
        <w:tblW w:w="0" w:type="auto"/>
        <w:tbl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single" w:sz="8" w:space="0" w:color="7BA0CD"/>
          <w:insideV w:val="single" w:sz="8" w:space="0" w:color="7BA0CD"/>
        </w:tblBorders>
        <w:tblLook w:val="04A0" w:firstRow="1" w:lastRow="0" w:firstColumn="1" w:lastColumn="0" w:noHBand="0" w:noVBand="1"/>
      </w:tblPr>
      <w:tblGrid>
        <w:gridCol w:w="1380"/>
        <w:gridCol w:w="1775"/>
        <w:gridCol w:w="1508"/>
        <w:gridCol w:w="1973"/>
        <w:gridCol w:w="1880"/>
      </w:tblGrid>
      <w:tr w:rsidR="00B543F8" w:rsidRPr="004E0ECA" w14:paraId="243AE6CA" w14:textId="77777777" w:rsidTr="00C03F1C">
        <w:tc>
          <w:tcPr>
            <w:tcW w:w="1380" w:type="dxa"/>
            <w:shd w:val="clear" w:color="auto" w:fill="D3DFEE"/>
          </w:tcPr>
          <w:p w14:paraId="14BF97CA" w14:textId="77777777" w:rsidR="00B543F8" w:rsidRPr="004E0ECA" w:rsidRDefault="00B543F8" w:rsidP="000D27F9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4E0ECA">
              <w:rPr>
                <w:rFonts w:ascii="Calibri" w:hAnsi="Calibri"/>
                <w:b/>
                <w:bCs/>
                <w:sz w:val="20"/>
                <w:szCs w:val="20"/>
              </w:rPr>
              <w:t>Colloids</w:t>
            </w:r>
          </w:p>
        </w:tc>
        <w:tc>
          <w:tcPr>
            <w:tcW w:w="1775" w:type="dxa"/>
            <w:shd w:val="clear" w:color="auto" w:fill="D3DFEE"/>
          </w:tcPr>
          <w:p w14:paraId="152EE638" w14:textId="77777777" w:rsidR="00B543F8" w:rsidRPr="004E0ECA" w:rsidRDefault="00B543F8" w:rsidP="00C03F1C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4E0ECA">
              <w:rPr>
                <w:rFonts w:ascii="Calibri" w:hAnsi="Calibri"/>
                <w:b/>
                <w:bCs/>
                <w:sz w:val="20"/>
                <w:szCs w:val="20"/>
              </w:rPr>
              <w:t>Hydroxyethyl Starch</w:t>
            </w:r>
          </w:p>
        </w:tc>
        <w:tc>
          <w:tcPr>
            <w:tcW w:w="1508" w:type="dxa"/>
            <w:shd w:val="clear" w:color="auto" w:fill="D3DFEE"/>
          </w:tcPr>
          <w:p w14:paraId="4342B0E9" w14:textId="77777777" w:rsidR="00B543F8" w:rsidRPr="004E0ECA" w:rsidRDefault="00B543F8" w:rsidP="00C03F1C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proofErr w:type="spellStart"/>
            <w:r w:rsidRPr="004E0ECA">
              <w:rPr>
                <w:rFonts w:ascii="Calibri" w:hAnsi="Calibri"/>
                <w:b/>
                <w:bCs/>
                <w:sz w:val="20"/>
                <w:szCs w:val="20"/>
              </w:rPr>
              <w:t>Gelatin</w:t>
            </w:r>
            <w:proofErr w:type="spellEnd"/>
            <w:r w:rsidRPr="004E0ECA">
              <w:rPr>
                <w:rFonts w:ascii="Calibri" w:hAnsi="Calibri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4E0ECA">
              <w:rPr>
                <w:rFonts w:ascii="Calibri" w:hAnsi="Calibri"/>
                <w:b/>
                <w:bCs/>
                <w:sz w:val="20"/>
                <w:szCs w:val="20"/>
              </w:rPr>
              <w:t>polygelines</w:t>
            </w:r>
            <w:proofErr w:type="spellEnd"/>
            <w:r w:rsidRPr="004E0ECA">
              <w:rPr>
                <w:rFonts w:ascii="Calibri" w:hAnsi="Calibr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973" w:type="dxa"/>
            <w:shd w:val="clear" w:color="auto" w:fill="D3DFEE"/>
          </w:tcPr>
          <w:p w14:paraId="7089A7D1" w14:textId="77777777" w:rsidR="00B543F8" w:rsidRPr="004E0ECA" w:rsidRDefault="00B543F8" w:rsidP="00C03F1C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proofErr w:type="spellStart"/>
            <w:r w:rsidRPr="004E0ECA">
              <w:rPr>
                <w:rFonts w:ascii="Calibri" w:hAnsi="Calibri"/>
                <w:b/>
                <w:bCs/>
                <w:sz w:val="20"/>
                <w:szCs w:val="20"/>
              </w:rPr>
              <w:t>Dextrans</w:t>
            </w:r>
            <w:proofErr w:type="spellEnd"/>
          </w:p>
        </w:tc>
        <w:tc>
          <w:tcPr>
            <w:tcW w:w="1880" w:type="dxa"/>
            <w:shd w:val="clear" w:color="auto" w:fill="D3DFEE"/>
          </w:tcPr>
          <w:p w14:paraId="6BF80093" w14:textId="77777777" w:rsidR="00B543F8" w:rsidRPr="004E0ECA" w:rsidRDefault="00B543F8" w:rsidP="00C03F1C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4E0ECA">
              <w:rPr>
                <w:rFonts w:ascii="Calibri" w:hAnsi="Calibri"/>
                <w:b/>
                <w:bCs/>
                <w:sz w:val="20"/>
                <w:szCs w:val="20"/>
              </w:rPr>
              <w:t>Plasma product (Albumin)</w:t>
            </w:r>
          </w:p>
        </w:tc>
      </w:tr>
      <w:tr w:rsidR="00B543F8" w:rsidRPr="004E0ECA" w14:paraId="5957685A" w14:textId="77777777" w:rsidTr="00C03F1C">
        <w:tc>
          <w:tcPr>
            <w:tcW w:w="1380" w:type="dxa"/>
            <w:shd w:val="clear" w:color="auto" w:fill="A7BFDE"/>
          </w:tcPr>
          <w:p w14:paraId="02B48FB4" w14:textId="77777777" w:rsidR="00B543F8" w:rsidRPr="004E0ECA" w:rsidRDefault="00B543F8" w:rsidP="00C03F1C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4E0ECA">
              <w:rPr>
                <w:rFonts w:ascii="Calibri" w:hAnsi="Calibri"/>
                <w:b/>
                <w:bCs/>
                <w:sz w:val="20"/>
                <w:szCs w:val="20"/>
              </w:rPr>
              <w:t>Composition</w:t>
            </w:r>
          </w:p>
        </w:tc>
        <w:tc>
          <w:tcPr>
            <w:tcW w:w="1775" w:type="dxa"/>
            <w:shd w:val="clear" w:color="auto" w:fill="A7BFDE"/>
          </w:tcPr>
          <w:p w14:paraId="63F9A855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Modified natural polysaccharides, </w:t>
            </w:r>
            <w:proofErr w:type="gramStart"/>
            <w:r w:rsidRPr="004E0ECA">
              <w:rPr>
                <w:rFonts w:ascii="Calibri" w:hAnsi="Calibri"/>
                <w:sz w:val="20"/>
                <w:szCs w:val="20"/>
              </w:rPr>
              <w:t>similar to</w:t>
            </w:r>
            <w:proofErr w:type="gramEnd"/>
            <w:r w:rsidRPr="004E0ECA">
              <w:rPr>
                <w:rFonts w:ascii="Calibri" w:hAnsi="Calibri"/>
                <w:sz w:val="20"/>
                <w:szCs w:val="20"/>
              </w:rPr>
              <w:t xml:space="preserve"> glycogen, derived from amylopectin – corn/potato starch based.</w:t>
            </w:r>
          </w:p>
          <w:p w14:paraId="7BBBAAB5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1. To delay breakdown, hydroxyethyl groups are substituted on some of the carbons</w:t>
            </w:r>
          </w:p>
          <w:p w14:paraId="6990CCD3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2. C2/C6 substitution ratio – if high (&gt;8) much slower breakdown</w:t>
            </w:r>
          </w:p>
          <w:p w14:paraId="730EAA38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3. Higher molecular weight, slower breakdown</w:t>
            </w:r>
          </w:p>
        </w:tc>
        <w:tc>
          <w:tcPr>
            <w:tcW w:w="1508" w:type="dxa"/>
            <w:shd w:val="clear" w:color="auto" w:fill="A7BFDE"/>
          </w:tcPr>
          <w:p w14:paraId="14A511F2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Degradation of bovine collagen,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polydispersed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colloidal solutions</w:t>
            </w:r>
          </w:p>
          <w:p w14:paraId="1BAE1E19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 - oxy, urea crosslinked or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succynated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gelatins</w:t>
            </w:r>
            <w:proofErr w:type="spellEnd"/>
          </w:p>
          <w:p w14:paraId="01C56CDE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30-35kDa</w:t>
            </w:r>
          </w:p>
          <w:p w14:paraId="0DEE3494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3.5-5%</w:t>
            </w:r>
          </w:p>
          <w:p w14:paraId="0663C087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Small size = rapid clearance unchanged (80%)</w:t>
            </w:r>
          </w:p>
          <w:p w14:paraId="3BDDAC59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proofErr w:type="gramStart"/>
            <w:r w:rsidRPr="004E0ECA">
              <w:rPr>
                <w:rFonts w:ascii="Calibri" w:hAnsi="Calibri"/>
                <w:sz w:val="20"/>
                <w:szCs w:val="20"/>
              </w:rPr>
              <w:t>Therefore</w:t>
            </w:r>
            <w:proofErr w:type="gramEnd"/>
            <w:r w:rsidRPr="004E0ECA">
              <w:rPr>
                <w:rFonts w:ascii="Calibri" w:hAnsi="Calibri"/>
                <w:sz w:val="20"/>
                <w:szCs w:val="20"/>
              </w:rPr>
              <w:t xml:space="preserve"> fast t1/2 (1-2/24)</w:t>
            </w:r>
          </w:p>
          <w:p w14:paraId="422999BD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No accumulation</w:t>
            </w:r>
          </w:p>
        </w:tc>
        <w:tc>
          <w:tcPr>
            <w:tcW w:w="1973" w:type="dxa"/>
            <w:shd w:val="clear" w:color="auto" w:fill="A7BFDE"/>
          </w:tcPr>
          <w:p w14:paraId="50FBC578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Polydispersed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colloids, long chains of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poylmerised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sucrose synth.  by </w:t>
            </w:r>
            <w:proofErr w:type="spellStart"/>
            <w:r w:rsidRPr="004E0ECA">
              <w:rPr>
                <w:rFonts w:ascii="Calibri" w:hAnsi="Calibri"/>
                <w:i/>
                <w:sz w:val="20"/>
                <w:szCs w:val="20"/>
              </w:rPr>
              <w:t>Leuconostoc</w:t>
            </w:r>
            <w:proofErr w:type="spellEnd"/>
            <w:r w:rsidRPr="004E0ECA">
              <w:rPr>
                <w:rFonts w:ascii="Calibri" w:hAnsi="Calibri"/>
                <w:i/>
                <w:sz w:val="20"/>
                <w:szCs w:val="20"/>
              </w:rPr>
              <w:t xml:space="preserve"> </w:t>
            </w:r>
            <w:proofErr w:type="spellStart"/>
            <w:r w:rsidRPr="004E0ECA">
              <w:rPr>
                <w:rFonts w:ascii="Calibri" w:hAnsi="Calibri"/>
                <w:i/>
                <w:sz w:val="20"/>
                <w:szCs w:val="20"/>
              </w:rPr>
              <w:t>mesenteroides</w:t>
            </w:r>
            <w:proofErr w:type="spellEnd"/>
          </w:p>
          <w:p w14:paraId="65D37651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Small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dextrans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&lt;50kDa are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freelyfiltered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, the rest are metabolised to CO2 and H2O by </w:t>
            </w:r>
            <w:proofErr w:type="spellStart"/>
            <w:proofErr w:type="gramStart"/>
            <w:r w:rsidRPr="004E0ECA">
              <w:rPr>
                <w:rFonts w:ascii="Calibri" w:hAnsi="Calibri"/>
                <w:sz w:val="20"/>
                <w:szCs w:val="20"/>
              </w:rPr>
              <w:t>liver,spleen</w:t>
            </w:r>
            <w:proofErr w:type="gramEnd"/>
            <w:r w:rsidRPr="004E0ECA">
              <w:rPr>
                <w:rFonts w:ascii="Calibri" w:hAnsi="Calibri"/>
                <w:sz w:val="20"/>
                <w:szCs w:val="20"/>
              </w:rPr>
              <w:t>,renal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enzymes</w:t>
            </w:r>
          </w:p>
          <w:p w14:paraId="7C6EE693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</w:p>
          <w:p w14:paraId="45909DD9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880" w:type="dxa"/>
            <w:shd w:val="clear" w:color="auto" w:fill="A7BFDE"/>
          </w:tcPr>
          <w:p w14:paraId="58045ED4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Purified from pooled human plasma.</w:t>
            </w:r>
          </w:p>
          <w:p w14:paraId="3AB6D26B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- Minimal infection risk</w:t>
            </w:r>
          </w:p>
          <w:p w14:paraId="12B31FD3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Known risk with low albumin – independent risk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facto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for mortality in many conditions – protective?</w:t>
            </w:r>
          </w:p>
          <w:p w14:paraId="7CD8AA08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</w:p>
          <w:p w14:paraId="1EFFE095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Used in lots of diseases, may result in worse outcomes in burns, hypoproteinaemia</w:t>
            </w:r>
          </w:p>
        </w:tc>
      </w:tr>
      <w:tr w:rsidR="00B543F8" w:rsidRPr="004E0ECA" w14:paraId="1DD8ED28" w14:textId="77777777" w:rsidTr="00C03F1C">
        <w:tc>
          <w:tcPr>
            <w:tcW w:w="1380" w:type="dxa"/>
            <w:shd w:val="clear" w:color="auto" w:fill="D3DFEE"/>
          </w:tcPr>
          <w:p w14:paraId="094B35B1" w14:textId="77777777" w:rsidR="00B543F8" w:rsidRPr="004E0ECA" w:rsidRDefault="00B543F8" w:rsidP="00C03F1C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4E0ECA">
              <w:rPr>
                <w:rFonts w:ascii="Calibri" w:hAnsi="Calibri"/>
                <w:b/>
                <w:bCs/>
                <w:sz w:val="20"/>
                <w:szCs w:val="20"/>
              </w:rPr>
              <w:t>Examples</w:t>
            </w:r>
          </w:p>
        </w:tc>
        <w:tc>
          <w:tcPr>
            <w:tcW w:w="1775" w:type="dxa"/>
            <w:shd w:val="clear" w:color="auto" w:fill="D3DFEE"/>
          </w:tcPr>
          <w:p w14:paraId="2557777B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Hexastarch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(6 h-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ethyls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to 10 glucose</w:t>
            </w:r>
          </w:p>
          <w:p w14:paraId="278F7BA8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Hetastarch</w:t>
            </w:r>
            <w:proofErr w:type="spellEnd"/>
          </w:p>
          <w:p w14:paraId="4687AAEE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Pentastarch</w:t>
            </w:r>
            <w:proofErr w:type="spellEnd"/>
          </w:p>
          <w:p w14:paraId="5DB55090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Tetrastarch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– high substitution prolongs degradation</w:t>
            </w:r>
          </w:p>
          <w:p w14:paraId="0FE097EE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Voluven</w:t>
            </w:r>
            <w:proofErr w:type="spellEnd"/>
          </w:p>
        </w:tc>
        <w:tc>
          <w:tcPr>
            <w:tcW w:w="1508" w:type="dxa"/>
            <w:shd w:val="clear" w:color="auto" w:fill="D3DFEE"/>
          </w:tcPr>
          <w:p w14:paraId="3631435A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Gelofusine</w:t>
            </w:r>
            <w:proofErr w:type="spellEnd"/>
          </w:p>
        </w:tc>
        <w:tc>
          <w:tcPr>
            <w:tcW w:w="1973" w:type="dxa"/>
            <w:shd w:val="clear" w:color="auto" w:fill="D3DFEE"/>
          </w:tcPr>
          <w:p w14:paraId="1AF1AEE3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Dextran 40 – most commonly used by plastics and vascular to keep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micoranastomoses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alive</w:t>
            </w:r>
          </w:p>
          <w:p w14:paraId="44CEF01D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Dextran 70</w:t>
            </w:r>
          </w:p>
        </w:tc>
        <w:tc>
          <w:tcPr>
            <w:tcW w:w="1880" w:type="dxa"/>
            <w:shd w:val="clear" w:color="auto" w:fill="D3DFEE"/>
          </w:tcPr>
          <w:p w14:paraId="51DE6479" w14:textId="77777777" w:rsidR="00B543F8" w:rsidRPr="004E0ECA" w:rsidRDefault="000E1795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4</w:t>
            </w:r>
            <w:r w:rsidR="00B543F8" w:rsidRPr="004E0ECA">
              <w:rPr>
                <w:rFonts w:ascii="Calibri" w:hAnsi="Calibri"/>
                <w:sz w:val="20"/>
                <w:szCs w:val="20"/>
              </w:rPr>
              <w:t>%, -isotonic</w:t>
            </w:r>
          </w:p>
          <w:p w14:paraId="5BC14AED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20%, 25% - </w:t>
            </w:r>
          </w:p>
          <w:p w14:paraId="21643F31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Both hyperosmotic</w:t>
            </w:r>
          </w:p>
        </w:tc>
      </w:tr>
      <w:tr w:rsidR="00B543F8" w:rsidRPr="004E0ECA" w14:paraId="5E3842C4" w14:textId="77777777" w:rsidTr="00C03F1C">
        <w:tc>
          <w:tcPr>
            <w:tcW w:w="1380" w:type="dxa"/>
            <w:shd w:val="clear" w:color="auto" w:fill="A7BFDE"/>
          </w:tcPr>
          <w:p w14:paraId="260ECD68" w14:textId="77777777" w:rsidR="00B543F8" w:rsidRPr="004E0ECA" w:rsidRDefault="00B543F8" w:rsidP="00C03F1C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4E0ECA">
              <w:rPr>
                <w:rFonts w:ascii="Calibri" w:hAnsi="Calibri"/>
                <w:b/>
                <w:bCs/>
                <w:sz w:val="20"/>
                <w:szCs w:val="20"/>
              </w:rPr>
              <w:t>Effect</w:t>
            </w:r>
          </w:p>
        </w:tc>
        <w:tc>
          <w:tcPr>
            <w:tcW w:w="1775" w:type="dxa"/>
            <w:shd w:val="clear" w:color="auto" w:fill="A7BFDE"/>
          </w:tcPr>
          <w:p w14:paraId="20EAD943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Vol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exp</w:t>
            </w:r>
            <w:proofErr w:type="spellEnd"/>
          </w:p>
          <w:p w14:paraId="6C9DA7F1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Lower blood viscosity, increased VR, CO</w:t>
            </w:r>
          </w:p>
          <w:p w14:paraId="7740C920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508" w:type="dxa"/>
            <w:shd w:val="clear" w:color="auto" w:fill="A7BFDE"/>
          </w:tcPr>
          <w:p w14:paraId="0B70C524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Vol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exp</w:t>
            </w:r>
            <w:proofErr w:type="spellEnd"/>
          </w:p>
          <w:p w14:paraId="0047BAF1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70-100% intravascular</w:t>
            </w:r>
          </w:p>
          <w:p w14:paraId="5ADB6041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Lower blood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visc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>. VR/CO inc</w:t>
            </w:r>
          </w:p>
        </w:tc>
        <w:tc>
          <w:tcPr>
            <w:tcW w:w="1973" w:type="dxa"/>
            <w:shd w:val="clear" w:color="auto" w:fill="A7BFDE"/>
          </w:tcPr>
          <w:p w14:paraId="2D087A01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Vol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exp</w:t>
            </w:r>
            <w:proofErr w:type="spellEnd"/>
          </w:p>
          <w:p w14:paraId="393D38CD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Most pronounced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dec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blood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visc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, and improvement in microcirculation </w:t>
            </w:r>
          </w:p>
        </w:tc>
        <w:tc>
          <w:tcPr>
            <w:tcW w:w="1880" w:type="dxa"/>
            <w:shd w:val="clear" w:color="auto" w:fill="A7BFDE"/>
          </w:tcPr>
          <w:p w14:paraId="7CB8F267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Maintains IV volume. Increased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COPressure</w:t>
            </w:r>
            <w:proofErr w:type="spellEnd"/>
          </w:p>
        </w:tc>
      </w:tr>
    </w:tbl>
    <w:p w14:paraId="2F664207" w14:textId="77777777" w:rsidR="004E0ECA" w:rsidRDefault="004E0ECA">
      <w:r>
        <w:br w:type="page"/>
      </w:r>
    </w:p>
    <w:tbl>
      <w:tblPr>
        <w:tblW w:w="0" w:type="auto"/>
        <w:tbl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single" w:sz="8" w:space="0" w:color="7BA0CD"/>
          <w:insideV w:val="single" w:sz="8" w:space="0" w:color="7BA0CD"/>
        </w:tblBorders>
        <w:tblLook w:val="04A0" w:firstRow="1" w:lastRow="0" w:firstColumn="1" w:lastColumn="0" w:noHBand="0" w:noVBand="1"/>
      </w:tblPr>
      <w:tblGrid>
        <w:gridCol w:w="1380"/>
        <w:gridCol w:w="1775"/>
        <w:gridCol w:w="1508"/>
        <w:gridCol w:w="1973"/>
        <w:gridCol w:w="1880"/>
      </w:tblGrid>
      <w:tr w:rsidR="00B543F8" w:rsidRPr="004E0ECA" w14:paraId="50EA5EAE" w14:textId="77777777" w:rsidTr="00C03F1C">
        <w:tc>
          <w:tcPr>
            <w:tcW w:w="1380" w:type="dxa"/>
            <w:shd w:val="clear" w:color="auto" w:fill="D3DFEE"/>
          </w:tcPr>
          <w:p w14:paraId="00FFE4CF" w14:textId="77777777" w:rsidR="00B543F8" w:rsidRPr="004E0ECA" w:rsidRDefault="00B543F8" w:rsidP="00C03F1C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4E0ECA">
              <w:rPr>
                <w:rFonts w:ascii="Calibri" w:hAnsi="Calibri"/>
                <w:b/>
                <w:bCs/>
                <w:sz w:val="20"/>
                <w:szCs w:val="20"/>
              </w:rPr>
              <w:lastRenderedPageBreak/>
              <w:t>Side effects</w:t>
            </w:r>
          </w:p>
        </w:tc>
        <w:tc>
          <w:tcPr>
            <w:tcW w:w="1775" w:type="dxa"/>
            <w:shd w:val="clear" w:color="auto" w:fill="D3DFEE"/>
          </w:tcPr>
          <w:p w14:paraId="73F979A4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Coagulopathy –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exp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high substitution starches,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dec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vWF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(I like syndrome)</w:t>
            </w:r>
          </w:p>
          <w:p w14:paraId="44BC7B5F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Renal damage –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hyperviscous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tubular flow, stasis</w:t>
            </w:r>
          </w:p>
          <w:p w14:paraId="0DD5B505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Taken up and stored in RES</w:t>
            </w:r>
          </w:p>
          <w:p w14:paraId="5A8E3B8F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Pruritus – up to weeks</w:t>
            </w:r>
          </w:p>
          <w:p w14:paraId="1D8FC660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Allergy – lowest of colloids</w:t>
            </w:r>
          </w:p>
          <w:p w14:paraId="2FBA1A28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Anaphlaxis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1:20000</w:t>
            </w:r>
          </w:p>
        </w:tc>
        <w:tc>
          <w:tcPr>
            <w:tcW w:w="1508" w:type="dxa"/>
            <w:shd w:val="clear" w:color="auto" w:fill="D3DFEE"/>
          </w:tcPr>
          <w:p w14:paraId="118A3CBD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Coagulopathy – dilutional and interference, unclear exactly.</w:t>
            </w:r>
          </w:p>
          <w:p w14:paraId="7F48C7B8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Bovine origin – possible prion disease vector</w:t>
            </w:r>
          </w:p>
          <w:p w14:paraId="2622CC5D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Allergic reactions most common (x6 HES, 0.35%)</w:t>
            </w:r>
          </w:p>
        </w:tc>
        <w:tc>
          <w:tcPr>
            <w:tcW w:w="1973" w:type="dxa"/>
            <w:shd w:val="clear" w:color="auto" w:fill="D3DFEE"/>
          </w:tcPr>
          <w:p w14:paraId="2006E2A1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Dose dep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hyperfibrinolysis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, and acquired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vWF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synd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, and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dec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VIII activity</w:t>
            </w:r>
          </w:p>
          <w:p w14:paraId="433101F8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Renal dysfunction – </w:t>
            </w:r>
            <w:proofErr w:type="gramStart"/>
            <w:r w:rsidRPr="004E0ECA">
              <w:rPr>
                <w:rFonts w:ascii="Calibri" w:hAnsi="Calibri"/>
                <w:sz w:val="20"/>
                <w:szCs w:val="20"/>
              </w:rPr>
              <w:t>similar to</w:t>
            </w:r>
            <w:proofErr w:type="gramEnd"/>
            <w:r w:rsidRPr="004E0ECA">
              <w:rPr>
                <w:rFonts w:ascii="Calibri" w:hAnsi="Calibri"/>
                <w:sz w:val="20"/>
                <w:szCs w:val="20"/>
              </w:rPr>
              <w:t xml:space="preserve"> HES</w:t>
            </w:r>
          </w:p>
          <w:p w14:paraId="4A256BDF" w14:textId="77777777" w:rsidR="00B543F8" w:rsidRPr="004E0ECA" w:rsidRDefault="004F7BAE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Anaphylaxis, therefore use</w:t>
            </w:r>
            <w:r w:rsidR="00B543F8" w:rsidRPr="004E0ECA">
              <w:rPr>
                <w:rFonts w:ascii="Calibri" w:hAnsi="Calibri"/>
                <w:sz w:val="20"/>
                <w:szCs w:val="20"/>
              </w:rPr>
              <w:t xml:space="preserve"> (dextran 1) administered before any dextran infusion</w:t>
            </w:r>
            <w:r w:rsidRPr="004E0ECA">
              <w:rPr>
                <w:rFonts w:ascii="Calibri" w:hAnsi="Calibri"/>
                <w:sz w:val="20"/>
                <w:szCs w:val="20"/>
              </w:rPr>
              <w:t xml:space="preserve"> –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hapten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inhibitor,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dec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anaphylaxis chance (binds antidextran Abs without causing reaction</w:t>
            </w:r>
          </w:p>
          <w:p w14:paraId="18A82F9E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880" w:type="dxa"/>
            <w:shd w:val="clear" w:color="auto" w:fill="D3DFEE"/>
          </w:tcPr>
          <w:p w14:paraId="07377F91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 xml:space="preserve">Same risk (high) of allergy as </w:t>
            </w: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gelatins</w:t>
            </w:r>
            <w:proofErr w:type="spellEnd"/>
          </w:p>
          <w:p w14:paraId="772595DE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proofErr w:type="spellStart"/>
            <w:r w:rsidRPr="004E0ECA">
              <w:rPr>
                <w:rFonts w:ascii="Calibri" w:hAnsi="Calibri"/>
                <w:sz w:val="20"/>
                <w:szCs w:val="20"/>
              </w:rPr>
              <w:t>Anaphlaxis</w:t>
            </w:r>
            <w:proofErr w:type="spellEnd"/>
            <w:r w:rsidRPr="004E0ECA">
              <w:rPr>
                <w:rFonts w:ascii="Calibri" w:hAnsi="Calibri"/>
                <w:sz w:val="20"/>
                <w:szCs w:val="20"/>
              </w:rPr>
              <w:t xml:space="preserve"> 1:10000</w:t>
            </w:r>
          </w:p>
          <w:p w14:paraId="77F36EB0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B543F8" w:rsidRPr="004E0ECA" w14:paraId="6F50F02A" w14:textId="77777777" w:rsidTr="00C03F1C">
        <w:tc>
          <w:tcPr>
            <w:tcW w:w="1380" w:type="dxa"/>
            <w:shd w:val="clear" w:color="auto" w:fill="A7BFDE"/>
          </w:tcPr>
          <w:p w14:paraId="4A3F2615" w14:textId="77777777" w:rsidR="00B543F8" w:rsidRPr="004E0ECA" w:rsidRDefault="00B543F8" w:rsidP="00C03F1C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4E0ECA">
              <w:rPr>
                <w:rFonts w:ascii="Calibri" w:hAnsi="Calibri"/>
                <w:b/>
                <w:bCs/>
                <w:sz w:val="20"/>
                <w:szCs w:val="20"/>
              </w:rPr>
              <w:t>Dose</w:t>
            </w:r>
          </w:p>
        </w:tc>
        <w:tc>
          <w:tcPr>
            <w:tcW w:w="1775" w:type="dxa"/>
            <w:shd w:val="clear" w:color="auto" w:fill="A7BFDE"/>
          </w:tcPr>
          <w:p w14:paraId="73A4CA8B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1.5-3.0g/kg/day slow to fast degradable respectively</w:t>
            </w:r>
          </w:p>
        </w:tc>
        <w:tc>
          <w:tcPr>
            <w:tcW w:w="1508" w:type="dxa"/>
            <w:shd w:val="clear" w:color="auto" w:fill="A7BFDE"/>
          </w:tcPr>
          <w:p w14:paraId="13FB2B50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No restriction</w:t>
            </w:r>
          </w:p>
        </w:tc>
        <w:tc>
          <w:tcPr>
            <w:tcW w:w="1973" w:type="dxa"/>
            <w:shd w:val="clear" w:color="auto" w:fill="A7BFDE"/>
          </w:tcPr>
          <w:p w14:paraId="25B9566F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  <w:r w:rsidRPr="004E0ECA">
              <w:rPr>
                <w:rFonts w:ascii="Calibri" w:hAnsi="Calibri"/>
                <w:sz w:val="20"/>
                <w:szCs w:val="20"/>
              </w:rPr>
              <w:t>1.5g/kg/day – to minimize coagulopathy</w:t>
            </w:r>
          </w:p>
        </w:tc>
        <w:tc>
          <w:tcPr>
            <w:tcW w:w="1880" w:type="dxa"/>
            <w:shd w:val="clear" w:color="auto" w:fill="A7BFDE"/>
          </w:tcPr>
          <w:p w14:paraId="5235A6E8" w14:textId="77777777" w:rsidR="00B543F8" w:rsidRPr="004E0ECA" w:rsidRDefault="00B543F8" w:rsidP="00C03F1C">
            <w:pPr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0F1A6BF4" w14:textId="77777777" w:rsidR="00B543F8" w:rsidRPr="004E0ECA" w:rsidRDefault="00B543F8" w:rsidP="00B543F8">
      <w:pPr>
        <w:rPr>
          <w:rFonts w:ascii="Calibri" w:hAnsi="Calibri"/>
          <w:sz w:val="20"/>
          <w:szCs w:val="20"/>
        </w:rPr>
      </w:pPr>
    </w:p>
    <w:p w14:paraId="03AC2A50" w14:textId="77777777" w:rsidR="005407BD" w:rsidRPr="004E0ECA" w:rsidRDefault="005407BD" w:rsidP="00B543F8">
      <w:pPr>
        <w:pStyle w:val="ListParagraph"/>
        <w:rPr>
          <w:rFonts w:ascii="Calibri" w:hAnsi="Calibri"/>
          <w:sz w:val="20"/>
          <w:szCs w:val="20"/>
        </w:rPr>
      </w:pPr>
    </w:p>
    <w:p w14:paraId="7EDFFB27" w14:textId="77777777" w:rsidR="00EA018D" w:rsidRPr="004E0ECA" w:rsidRDefault="00EA018D" w:rsidP="00EA018D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GS 1.6 Calculate IV fluid requirements and choose the appropriate therapy in low risk patients and surgery</w:t>
      </w:r>
    </w:p>
    <w:p w14:paraId="71B2FAEE" w14:textId="77777777" w:rsidR="005407BD" w:rsidRPr="004E0ECA" w:rsidRDefault="00B543F8" w:rsidP="005407BD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4:2:1</w:t>
      </w:r>
      <w:r w:rsidR="002D5DCA" w:rsidRPr="004E0ECA">
        <w:rPr>
          <w:rFonts w:ascii="Calibri" w:hAnsi="Calibri"/>
          <w:sz w:val="20"/>
          <w:szCs w:val="20"/>
        </w:rPr>
        <w:t>, acumen – unsure about anything higher level here apart from invasive monitoring SVV et</w:t>
      </w:r>
      <w:r w:rsidR="000D27F9" w:rsidRPr="004E0ECA">
        <w:rPr>
          <w:rFonts w:ascii="Calibri" w:hAnsi="Calibri"/>
          <w:sz w:val="20"/>
          <w:szCs w:val="20"/>
        </w:rPr>
        <w:t>-</w:t>
      </w:r>
      <w:r w:rsidR="002D5DCA" w:rsidRPr="004E0ECA">
        <w:rPr>
          <w:rFonts w:ascii="Calibri" w:hAnsi="Calibri"/>
          <w:sz w:val="20"/>
          <w:szCs w:val="20"/>
        </w:rPr>
        <w:t>cetera</w:t>
      </w:r>
    </w:p>
    <w:p w14:paraId="7A516EB9" w14:textId="77777777" w:rsidR="002D5DCA" w:rsidRPr="004E0ECA" w:rsidRDefault="00EA018D" w:rsidP="002D5DCA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 xml:space="preserve">GS 1.7 Describe situations where </w:t>
      </w:r>
      <w:proofErr w:type="spellStart"/>
      <w:r w:rsidRPr="004E0ECA">
        <w:rPr>
          <w:rFonts w:ascii="Calibri" w:hAnsi="Calibri"/>
          <w:sz w:val="20"/>
          <w:szCs w:val="20"/>
        </w:rPr>
        <w:t>premeds</w:t>
      </w:r>
      <w:proofErr w:type="spellEnd"/>
      <w:r w:rsidRPr="004E0ECA">
        <w:rPr>
          <w:rFonts w:ascii="Calibri" w:hAnsi="Calibri"/>
          <w:sz w:val="20"/>
          <w:szCs w:val="20"/>
        </w:rPr>
        <w:t xml:space="preserve"> are contra(indicated)</w:t>
      </w:r>
    </w:p>
    <w:p w14:paraId="2111AF90" w14:textId="77777777" w:rsidR="00EA018D" w:rsidRPr="004E0ECA" w:rsidRDefault="00EA018D" w:rsidP="00EA018D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GS 1.8 Outline the physiological changes that occur with and the implications for anaesthesia of pneumoperitoneum</w:t>
      </w:r>
    </w:p>
    <w:p w14:paraId="3E88E0A2" w14:textId="77777777" w:rsidR="005407BD" w:rsidRPr="004E0ECA" w:rsidRDefault="00B543F8" w:rsidP="005407BD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CVS</w:t>
      </w:r>
    </w:p>
    <w:p w14:paraId="241E7EF8" w14:textId="77777777" w:rsidR="00B543F8" w:rsidRPr="004E0ECA" w:rsidRDefault="00B543F8" w:rsidP="00B543F8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Initially, mobilisation of abdominal blood volume – increased VR, slight inc in HR, CO, MAP</w:t>
      </w:r>
    </w:p>
    <w:p w14:paraId="40F9BAF3" w14:textId="77777777" w:rsidR="00B543F8" w:rsidRPr="004E0ECA" w:rsidRDefault="00B543F8" w:rsidP="00B543F8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Soon followed by Decrease in VR and the opposite of the previous, with the addition of increased SVR/afterload secondary to aortic compression compounding the problem</w:t>
      </w:r>
    </w:p>
    <w:p w14:paraId="4785C15C" w14:textId="77777777" w:rsidR="008600DB" w:rsidRPr="004E0ECA" w:rsidRDefault="008600DB" w:rsidP="00B543F8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With the addition of increased lung pressures and increased PVR compounding the CO of the R heart (and ergo the whole heart)</w:t>
      </w:r>
    </w:p>
    <w:p w14:paraId="7157D264" w14:textId="77777777" w:rsidR="008600DB" w:rsidRPr="004E0ECA" w:rsidRDefault="008600DB" w:rsidP="00B543F8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Esp. esp. if hypovolaemic</w:t>
      </w:r>
    </w:p>
    <w:p w14:paraId="512F3CB7" w14:textId="77777777" w:rsidR="00B543F8" w:rsidRPr="004E0ECA" w:rsidRDefault="00B543F8" w:rsidP="005407BD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proofErr w:type="spellStart"/>
      <w:r w:rsidRPr="004E0ECA">
        <w:rPr>
          <w:rFonts w:ascii="Calibri" w:hAnsi="Calibri"/>
          <w:sz w:val="20"/>
          <w:szCs w:val="20"/>
        </w:rPr>
        <w:t>Resp</w:t>
      </w:r>
      <w:proofErr w:type="spellEnd"/>
    </w:p>
    <w:p w14:paraId="1C391206" w14:textId="77777777" w:rsidR="00B543F8" w:rsidRPr="004E0ECA" w:rsidRDefault="00B543F8" w:rsidP="00B543F8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Decreased compliance of diaphragm – increased respiratory pressures and the cardiovascular issues that come with it, as well as the risk of barotrauma, atelectasis, impaired gas exchange and CO2 uptake from the peritoneum</w:t>
      </w:r>
    </w:p>
    <w:p w14:paraId="547525FA" w14:textId="77777777" w:rsidR="00B543F8" w:rsidRPr="004E0ECA" w:rsidRDefault="00B543F8" w:rsidP="005407BD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Renal</w:t>
      </w:r>
    </w:p>
    <w:p w14:paraId="2D3ED1B2" w14:textId="77777777" w:rsidR="00B543F8" w:rsidRPr="004E0ECA" w:rsidRDefault="00B543F8" w:rsidP="00B543F8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Decreased RBF causing pre-renal renal insult, also causing activation of autoregulation and the RAAS syndrome and secondary sympathetic NS activation</w:t>
      </w:r>
      <w:r w:rsidR="008600DB" w:rsidRPr="004E0ECA">
        <w:rPr>
          <w:rFonts w:ascii="Calibri" w:hAnsi="Calibri"/>
          <w:sz w:val="20"/>
          <w:szCs w:val="20"/>
        </w:rPr>
        <w:t xml:space="preserve"> (ADH, ATII leading to further increases in SVR)</w:t>
      </w:r>
    </w:p>
    <w:p w14:paraId="5DFF6664" w14:textId="77777777" w:rsidR="00B543F8" w:rsidRPr="004E0ECA" w:rsidRDefault="00B543F8" w:rsidP="005407BD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Hepatic</w:t>
      </w:r>
    </w:p>
    <w:p w14:paraId="2A07E42B" w14:textId="77777777" w:rsidR="00B543F8" w:rsidRPr="004E0ECA" w:rsidRDefault="00B543F8" w:rsidP="00B543F8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Decreased HBF</w:t>
      </w:r>
    </w:p>
    <w:p w14:paraId="0BC9174C" w14:textId="77777777" w:rsidR="008600DB" w:rsidRPr="004E0ECA" w:rsidRDefault="008600DB" w:rsidP="008600DB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Neurological</w:t>
      </w:r>
    </w:p>
    <w:p w14:paraId="3C8F71A3" w14:textId="77777777" w:rsidR="008600DB" w:rsidRPr="004E0ECA" w:rsidRDefault="008600DB" w:rsidP="008600DB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 xml:space="preserve">Increased ICP due to limitations in cervical vein drainage </w:t>
      </w:r>
      <w:proofErr w:type="gramStart"/>
      <w:r w:rsidRPr="004E0ECA">
        <w:rPr>
          <w:rFonts w:ascii="Calibri" w:hAnsi="Calibri"/>
          <w:sz w:val="20"/>
          <w:szCs w:val="20"/>
        </w:rPr>
        <w:t>as a consequence of</w:t>
      </w:r>
      <w:proofErr w:type="gramEnd"/>
      <w:r w:rsidRPr="004E0ECA">
        <w:rPr>
          <w:rFonts w:ascii="Calibri" w:hAnsi="Calibri"/>
          <w:sz w:val="20"/>
          <w:szCs w:val="20"/>
        </w:rPr>
        <w:t xml:space="preserve"> the increased intrathoracic pressure, which is itself a consequence of the increased intraabdominal pressure.</w:t>
      </w:r>
    </w:p>
    <w:p w14:paraId="66074870" w14:textId="77777777" w:rsidR="008600DB" w:rsidRPr="004E0ECA" w:rsidRDefault="008600DB" w:rsidP="008600DB">
      <w:pPr>
        <w:pStyle w:val="ListParagraph"/>
        <w:rPr>
          <w:rFonts w:ascii="Calibri" w:hAnsi="Calibri"/>
          <w:sz w:val="20"/>
          <w:szCs w:val="20"/>
        </w:rPr>
      </w:pPr>
    </w:p>
    <w:p w14:paraId="4072E2CE" w14:textId="77777777" w:rsidR="004E0ECA" w:rsidRDefault="004E0EC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br w:type="page"/>
      </w:r>
    </w:p>
    <w:p w14:paraId="1273C4D1" w14:textId="77777777" w:rsidR="00EA018D" w:rsidRPr="004E0ECA" w:rsidRDefault="00EA018D" w:rsidP="00EA018D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lastRenderedPageBreak/>
        <w:t xml:space="preserve">GS 1.9 Outline the changes and implications for </w:t>
      </w:r>
      <w:proofErr w:type="spellStart"/>
      <w:r w:rsidRPr="004E0ECA">
        <w:rPr>
          <w:rFonts w:ascii="Calibri" w:hAnsi="Calibri"/>
          <w:sz w:val="20"/>
          <w:szCs w:val="20"/>
        </w:rPr>
        <w:t>Mx</w:t>
      </w:r>
      <w:proofErr w:type="spellEnd"/>
      <w:r w:rsidRPr="004E0ECA">
        <w:rPr>
          <w:rFonts w:ascii="Calibri" w:hAnsi="Calibri"/>
          <w:sz w:val="20"/>
          <w:szCs w:val="20"/>
        </w:rPr>
        <w:t xml:space="preserve"> of the following positions: supine, trend, reverse trend, </w:t>
      </w:r>
      <w:r w:rsidR="005407BD" w:rsidRPr="004E0ECA">
        <w:rPr>
          <w:rFonts w:ascii="Calibri" w:hAnsi="Calibri"/>
          <w:sz w:val="20"/>
          <w:szCs w:val="20"/>
        </w:rPr>
        <w:t>lateral, lithotomy, prone</w:t>
      </w:r>
    </w:p>
    <w:p w14:paraId="7E524071" w14:textId="77777777" w:rsidR="008600DB" w:rsidRPr="004E0ECA" w:rsidRDefault="008600DB" w:rsidP="008600DB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Supine – decreased FRC – worse VQ matching, issues if FRC below CC, possible airway obstruction. Increased VR, increased CO, possible IVC compression in obesity/pregnancy. Increased regurgitation risk. Back pain. Occiput, heels and sacrum. Ulnar nerve.</w:t>
      </w:r>
    </w:p>
    <w:p w14:paraId="347F29EF" w14:textId="77777777" w:rsidR="008600DB" w:rsidRPr="004E0ECA" w:rsidRDefault="008600DB" w:rsidP="008600DB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Trend – as above but more extreme, with diaphragmatic splinting by gravity driven abdominal organs. Increased IOP/ICP</w:t>
      </w:r>
    </w:p>
    <w:p w14:paraId="0D788B78" w14:textId="77777777" w:rsidR="008600DB" w:rsidRPr="004E0ECA" w:rsidRDefault="008600DB" w:rsidP="008600DB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 xml:space="preserve">Reverse trend – improved </w:t>
      </w:r>
      <w:proofErr w:type="spellStart"/>
      <w:r w:rsidRPr="004E0ECA">
        <w:rPr>
          <w:rFonts w:ascii="Calibri" w:hAnsi="Calibri"/>
          <w:sz w:val="20"/>
          <w:szCs w:val="20"/>
        </w:rPr>
        <w:t>resp</w:t>
      </w:r>
      <w:proofErr w:type="spellEnd"/>
      <w:r w:rsidRPr="004E0ECA">
        <w:rPr>
          <w:rFonts w:ascii="Calibri" w:hAnsi="Calibri"/>
          <w:sz w:val="20"/>
          <w:szCs w:val="20"/>
        </w:rPr>
        <w:t>, worse CVS, risk of venous air embolism</w:t>
      </w:r>
    </w:p>
    <w:p w14:paraId="648B45AC" w14:textId="77777777" w:rsidR="008600DB" w:rsidRPr="004E0ECA" w:rsidRDefault="008600DB" w:rsidP="008600DB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Lithotomy – same as supine/trend with increased venous return, hip/knee damage. Risk of tube migration/</w:t>
      </w:r>
      <w:proofErr w:type="spellStart"/>
      <w:r w:rsidRPr="004E0ECA">
        <w:rPr>
          <w:rFonts w:ascii="Calibri" w:hAnsi="Calibri"/>
          <w:sz w:val="20"/>
          <w:szCs w:val="20"/>
        </w:rPr>
        <w:t>resp</w:t>
      </w:r>
      <w:proofErr w:type="spellEnd"/>
      <w:r w:rsidRPr="004E0ECA">
        <w:rPr>
          <w:rFonts w:ascii="Calibri" w:hAnsi="Calibri"/>
          <w:sz w:val="20"/>
          <w:szCs w:val="20"/>
        </w:rPr>
        <w:t xml:space="preserve"> injury. VTE risk.</w:t>
      </w:r>
    </w:p>
    <w:p w14:paraId="4DFCB179" w14:textId="77777777" w:rsidR="008600DB" w:rsidRPr="004E0ECA" w:rsidRDefault="008600DB" w:rsidP="008600DB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 xml:space="preserve">Lateral, as supine with </w:t>
      </w:r>
      <w:proofErr w:type="spellStart"/>
      <w:r w:rsidRPr="004E0ECA">
        <w:rPr>
          <w:rFonts w:ascii="Calibri" w:hAnsi="Calibri"/>
          <w:sz w:val="20"/>
          <w:szCs w:val="20"/>
        </w:rPr>
        <w:t>underperfused</w:t>
      </w:r>
      <w:proofErr w:type="spellEnd"/>
      <w:r w:rsidRPr="004E0ECA">
        <w:rPr>
          <w:rFonts w:ascii="Calibri" w:hAnsi="Calibri"/>
          <w:sz w:val="20"/>
          <w:szCs w:val="20"/>
        </w:rPr>
        <w:t xml:space="preserve"> and </w:t>
      </w:r>
      <w:proofErr w:type="spellStart"/>
      <w:r w:rsidRPr="004E0ECA">
        <w:rPr>
          <w:rFonts w:ascii="Calibri" w:hAnsi="Calibri"/>
          <w:sz w:val="20"/>
          <w:szCs w:val="20"/>
        </w:rPr>
        <w:t>overventilated</w:t>
      </w:r>
      <w:proofErr w:type="spellEnd"/>
      <w:r w:rsidRPr="004E0ECA">
        <w:rPr>
          <w:rFonts w:ascii="Calibri" w:hAnsi="Calibri"/>
          <w:sz w:val="20"/>
          <w:szCs w:val="20"/>
        </w:rPr>
        <w:t xml:space="preserve"> lung up top, and </w:t>
      </w:r>
      <w:proofErr w:type="spellStart"/>
      <w:r w:rsidRPr="004E0ECA">
        <w:rPr>
          <w:rFonts w:ascii="Calibri" w:hAnsi="Calibri"/>
          <w:sz w:val="20"/>
          <w:szCs w:val="20"/>
        </w:rPr>
        <w:t>overperfused</w:t>
      </w:r>
      <w:proofErr w:type="spellEnd"/>
      <w:r w:rsidRPr="004E0ECA">
        <w:rPr>
          <w:rFonts w:ascii="Calibri" w:hAnsi="Calibri"/>
          <w:sz w:val="20"/>
          <w:szCs w:val="20"/>
        </w:rPr>
        <w:t xml:space="preserve"> and </w:t>
      </w:r>
      <w:proofErr w:type="spellStart"/>
      <w:r w:rsidRPr="004E0ECA">
        <w:rPr>
          <w:rFonts w:ascii="Calibri" w:hAnsi="Calibri"/>
          <w:sz w:val="20"/>
          <w:szCs w:val="20"/>
        </w:rPr>
        <w:t>underventilated</w:t>
      </w:r>
      <w:proofErr w:type="spellEnd"/>
      <w:r w:rsidRPr="004E0ECA">
        <w:rPr>
          <w:rFonts w:ascii="Calibri" w:hAnsi="Calibri"/>
          <w:sz w:val="20"/>
          <w:szCs w:val="20"/>
        </w:rPr>
        <w:t xml:space="preserve"> lung down bottom – </w:t>
      </w:r>
      <w:proofErr w:type="spellStart"/>
      <w:r w:rsidRPr="004E0ECA">
        <w:rPr>
          <w:rFonts w:ascii="Calibri" w:hAnsi="Calibri"/>
          <w:sz w:val="20"/>
          <w:szCs w:val="20"/>
        </w:rPr>
        <w:t>resp</w:t>
      </w:r>
      <w:proofErr w:type="spellEnd"/>
      <w:r w:rsidRPr="004E0ECA">
        <w:rPr>
          <w:rFonts w:ascii="Calibri" w:hAnsi="Calibri"/>
          <w:sz w:val="20"/>
          <w:szCs w:val="20"/>
        </w:rPr>
        <w:t xml:space="preserve"> fa</w:t>
      </w:r>
      <w:r w:rsidR="0096586C" w:rsidRPr="004E0ECA">
        <w:rPr>
          <w:rFonts w:ascii="Calibri" w:hAnsi="Calibri"/>
          <w:sz w:val="20"/>
          <w:szCs w:val="20"/>
        </w:rPr>
        <w:t xml:space="preserve">ilure in </w:t>
      </w:r>
      <w:proofErr w:type="spellStart"/>
      <w:r w:rsidR="0096586C" w:rsidRPr="004E0ECA">
        <w:rPr>
          <w:rFonts w:ascii="Calibri" w:hAnsi="Calibri"/>
          <w:sz w:val="20"/>
          <w:szCs w:val="20"/>
        </w:rPr>
        <w:t>resp</w:t>
      </w:r>
      <w:proofErr w:type="spellEnd"/>
      <w:r w:rsidR="0096586C" w:rsidRPr="004E0ECA">
        <w:rPr>
          <w:rFonts w:ascii="Calibri" w:hAnsi="Calibri"/>
          <w:sz w:val="20"/>
          <w:szCs w:val="20"/>
        </w:rPr>
        <w:t xml:space="preserve"> patients possible. Corneal injuries – most common. Venous congestion inevitable in dependant arm – wary in axillary clearance. Padded legs.</w:t>
      </w:r>
    </w:p>
    <w:p w14:paraId="72314E90" w14:textId="77777777" w:rsidR="0096586C" w:rsidRPr="004E0ECA" w:rsidRDefault="0096586C" w:rsidP="0096586C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Seated – care, CVS neck position can lead to increased ICP, Venous air embolism</w:t>
      </w:r>
    </w:p>
    <w:p w14:paraId="689FE1D2" w14:textId="77777777" w:rsidR="005407BD" w:rsidRPr="004E0ECA" w:rsidRDefault="0096586C" w:rsidP="005407BD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Prone – positioning, airway, access, eyes, if abdomen free – improved FRC and VQ, if not – worse VR, and CO, and reduction in FRC. Care with arms.</w:t>
      </w:r>
    </w:p>
    <w:p w14:paraId="58A72AB3" w14:textId="77777777" w:rsidR="0096586C" w:rsidRPr="004E0ECA" w:rsidRDefault="0096586C" w:rsidP="0096586C">
      <w:pPr>
        <w:pStyle w:val="ListParagraph"/>
        <w:rPr>
          <w:rFonts w:ascii="Calibri" w:hAnsi="Calibri"/>
          <w:sz w:val="20"/>
          <w:szCs w:val="20"/>
        </w:rPr>
      </w:pPr>
    </w:p>
    <w:p w14:paraId="201E0712" w14:textId="77777777" w:rsidR="005407BD" w:rsidRPr="004E0ECA" w:rsidRDefault="005407BD" w:rsidP="002D5DCA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GS 1.10 Strategy for PONV</w:t>
      </w:r>
    </w:p>
    <w:p w14:paraId="3B02028C" w14:textId="77777777" w:rsidR="002D5DCA" w:rsidRPr="004E0ECA" w:rsidRDefault="002D5DCA" w:rsidP="002D5DCA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proofErr w:type="spellStart"/>
      <w:r w:rsidRPr="004E0ECA">
        <w:rPr>
          <w:rFonts w:ascii="Calibri" w:hAnsi="Calibri"/>
          <w:sz w:val="20"/>
          <w:szCs w:val="20"/>
        </w:rPr>
        <w:t>Apfel</w:t>
      </w:r>
      <w:proofErr w:type="spellEnd"/>
      <w:r w:rsidRPr="004E0ECA">
        <w:rPr>
          <w:rFonts w:ascii="Calibri" w:hAnsi="Calibri"/>
          <w:sz w:val="20"/>
          <w:szCs w:val="20"/>
        </w:rPr>
        <w:t xml:space="preserve"> simplified score includes female gender, history of</w:t>
      </w:r>
    </w:p>
    <w:p w14:paraId="572899DD" w14:textId="77777777" w:rsidR="002D5DCA" w:rsidRPr="004E0ECA" w:rsidRDefault="002D5DCA" w:rsidP="002D5DCA">
      <w:pPr>
        <w:pStyle w:val="ListParagraph"/>
        <w:ind w:left="1440"/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PONV and/or motion sickness, non-smoking status, and post-</w:t>
      </w:r>
    </w:p>
    <w:p w14:paraId="4BA3876E" w14:textId="77777777" w:rsidR="002D5DCA" w:rsidRPr="004E0ECA" w:rsidRDefault="002D5DCA" w:rsidP="002D5DCA">
      <w:pPr>
        <w:pStyle w:val="ListParagraph"/>
        <w:ind w:left="1440"/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operative use of opioids. When 0, 1, 2, 3, or 4 factors are present,</w:t>
      </w:r>
    </w:p>
    <w:p w14:paraId="5B8F6020" w14:textId="77777777" w:rsidR="002D5DCA" w:rsidRPr="004E0ECA" w:rsidRDefault="002D5DCA" w:rsidP="002D5DCA">
      <w:pPr>
        <w:pStyle w:val="ListParagraph"/>
        <w:ind w:left="1440"/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the risk of PONV is 10%, 20%, 40%, 60%, or 80%, respectively</w:t>
      </w:r>
    </w:p>
    <w:p w14:paraId="26678B4F" w14:textId="77777777" w:rsidR="002D5DCA" w:rsidRPr="004E0ECA" w:rsidRDefault="002D5DCA" w:rsidP="002D5DCA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RR female ~3, RR Non-smoker ~2 (CYP induction</w:t>
      </w:r>
      <w:proofErr w:type="gramStart"/>
      <w:r w:rsidRPr="004E0ECA">
        <w:rPr>
          <w:rFonts w:ascii="Calibri" w:hAnsi="Calibri"/>
          <w:sz w:val="20"/>
          <w:szCs w:val="20"/>
        </w:rPr>
        <w:t>),  RR</w:t>
      </w:r>
      <w:proofErr w:type="gramEnd"/>
      <w:r w:rsidRPr="004E0ECA">
        <w:rPr>
          <w:rFonts w:ascii="Calibri" w:hAnsi="Calibri"/>
          <w:sz w:val="20"/>
          <w:szCs w:val="20"/>
        </w:rPr>
        <w:t xml:space="preserve"> Female ~2, RR young ?, peaks at 3yo, RR N2O 1.4.</w:t>
      </w:r>
    </w:p>
    <w:p w14:paraId="6D582DD0" w14:textId="77777777" w:rsidR="002D5DCA" w:rsidRPr="004E0ECA" w:rsidRDefault="002D5DCA" w:rsidP="002D5DCA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1</w:t>
      </w:r>
      <w:r w:rsidRPr="004E0ECA">
        <w:rPr>
          <w:rFonts w:ascii="Calibri" w:hAnsi="Calibri"/>
          <w:sz w:val="20"/>
          <w:szCs w:val="20"/>
          <w:vertAlign w:val="superscript"/>
        </w:rPr>
        <w:t>st</w:t>
      </w:r>
      <w:r w:rsidRPr="004E0ECA">
        <w:rPr>
          <w:rFonts w:ascii="Calibri" w:hAnsi="Calibri"/>
          <w:sz w:val="20"/>
          <w:szCs w:val="20"/>
        </w:rPr>
        <w:t xml:space="preserve"> line: CC steroids (</w:t>
      </w:r>
      <w:proofErr w:type="spellStart"/>
      <w:r w:rsidRPr="004E0ECA">
        <w:rPr>
          <w:rFonts w:ascii="Calibri" w:hAnsi="Calibri"/>
          <w:sz w:val="20"/>
          <w:szCs w:val="20"/>
        </w:rPr>
        <w:t>dex</w:t>
      </w:r>
      <w:proofErr w:type="spellEnd"/>
      <w:r w:rsidRPr="004E0ECA">
        <w:rPr>
          <w:rFonts w:ascii="Calibri" w:hAnsi="Calibri"/>
          <w:sz w:val="20"/>
          <w:szCs w:val="20"/>
        </w:rPr>
        <w:t>), Dopamine antagonists (</w:t>
      </w:r>
      <w:proofErr w:type="spellStart"/>
      <w:r w:rsidRPr="004E0ECA">
        <w:rPr>
          <w:rFonts w:ascii="Calibri" w:hAnsi="Calibri"/>
          <w:sz w:val="20"/>
          <w:szCs w:val="20"/>
        </w:rPr>
        <w:t>dror</w:t>
      </w:r>
      <w:proofErr w:type="spellEnd"/>
      <w:r w:rsidRPr="004E0ECA">
        <w:rPr>
          <w:rFonts w:ascii="Calibri" w:hAnsi="Calibri"/>
          <w:sz w:val="20"/>
          <w:szCs w:val="20"/>
        </w:rPr>
        <w:t xml:space="preserve">), </w:t>
      </w:r>
      <w:proofErr w:type="spellStart"/>
      <w:r w:rsidRPr="004E0ECA">
        <w:rPr>
          <w:rFonts w:ascii="Calibri" w:hAnsi="Calibri"/>
          <w:sz w:val="20"/>
          <w:szCs w:val="20"/>
        </w:rPr>
        <w:t>Seretonin</w:t>
      </w:r>
      <w:proofErr w:type="spellEnd"/>
      <w:r w:rsidRPr="004E0ECA">
        <w:rPr>
          <w:rFonts w:ascii="Calibri" w:hAnsi="Calibri"/>
          <w:sz w:val="20"/>
          <w:szCs w:val="20"/>
        </w:rPr>
        <w:t xml:space="preserve"> antagonists (</w:t>
      </w:r>
      <w:proofErr w:type="spellStart"/>
      <w:r w:rsidRPr="004E0ECA">
        <w:rPr>
          <w:rFonts w:ascii="Calibri" w:hAnsi="Calibri"/>
          <w:sz w:val="20"/>
          <w:szCs w:val="20"/>
        </w:rPr>
        <w:t>ondans</w:t>
      </w:r>
      <w:proofErr w:type="spellEnd"/>
      <w:r w:rsidRPr="004E0ECA">
        <w:rPr>
          <w:rFonts w:ascii="Calibri" w:hAnsi="Calibri"/>
          <w:sz w:val="20"/>
          <w:szCs w:val="20"/>
        </w:rPr>
        <w:t xml:space="preserve"> – all </w:t>
      </w:r>
      <w:proofErr w:type="spellStart"/>
      <w:r w:rsidRPr="004E0ECA">
        <w:rPr>
          <w:rFonts w:ascii="Calibri" w:hAnsi="Calibri"/>
          <w:sz w:val="20"/>
          <w:szCs w:val="20"/>
        </w:rPr>
        <w:t>QTc</w:t>
      </w:r>
      <w:proofErr w:type="spellEnd"/>
      <w:r w:rsidRPr="004E0ECA">
        <w:rPr>
          <w:rFonts w:ascii="Calibri" w:hAnsi="Calibri"/>
          <w:sz w:val="20"/>
          <w:szCs w:val="20"/>
        </w:rPr>
        <w:t xml:space="preserve"> prolong also, except </w:t>
      </w:r>
      <w:proofErr w:type="spellStart"/>
      <w:r w:rsidRPr="004E0ECA">
        <w:rPr>
          <w:rFonts w:ascii="Calibri" w:hAnsi="Calibri"/>
          <w:sz w:val="20"/>
          <w:szCs w:val="20"/>
        </w:rPr>
        <w:t>palonosetron</w:t>
      </w:r>
      <w:proofErr w:type="spellEnd"/>
      <w:r w:rsidRPr="004E0ECA">
        <w:rPr>
          <w:rFonts w:ascii="Calibri" w:hAnsi="Calibri"/>
          <w:sz w:val="20"/>
          <w:szCs w:val="20"/>
        </w:rPr>
        <w:t>) all have similar RR reduction ~0.75, act independently, additive.</w:t>
      </w:r>
    </w:p>
    <w:p w14:paraId="6AE275C7" w14:textId="77777777" w:rsidR="002D5DCA" w:rsidRPr="004E0ECA" w:rsidRDefault="002D5DCA" w:rsidP="002D5DCA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proofErr w:type="spellStart"/>
      <w:r w:rsidRPr="004E0ECA">
        <w:rPr>
          <w:rFonts w:ascii="Calibri" w:hAnsi="Calibri"/>
          <w:sz w:val="20"/>
          <w:szCs w:val="20"/>
        </w:rPr>
        <w:t>Aripepitant</w:t>
      </w:r>
      <w:proofErr w:type="spellEnd"/>
      <w:r w:rsidRPr="004E0ECA">
        <w:rPr>
          <w:rFonts w:ascii="Calibri" w:hAnsi="Calibri"/>
          <w:sz w:val="20"/>
          <w:szCs w:val="20"/>
        </w:rPr>
        <w:t xml:space="preserve"> (NK-1 antagonist) RR </w:t>
      </w:r>
      <w:proofErr w:type="gramStart"/>
      <w:r w:rsidRPr="004E0ECA">
        <w:rPr>
          <w:rFonts w:ascii="Calibri" w:hAnsi="Calibri"/>
          <w:sz w:val="20"/>
          <w:szCs w:val="20"/>
        </w:rPr>
        <w:t>0.3 !</w:t>
      </w:r>
      <w:proofErr w:type="gramEnd"/>
      <w:r w:rsidRPr="004E0ECA">
        <w:rPr>
          <w:rFonts w:ascii="Calibri" w:hAnsi="Calibri"/>
          <w:sz w:val="20"/>
          <w:szCs w:val="20"/>
        </w:rPr>
        <w:t>, but expensive</w:t>
      </w:r>
    </w:p>
    <w:p w14:paraId="0CCD3ED2" w14:textId="77777777" w:rsidR="002D5DCA" w:rsidRPr="004E0ECA" w:rsidRDefault="002D5DCA" w:rsidP="002D5DCA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2</w:t>
      </w:r>
      <w:r w:rsidRPr="004E0ECA">
        <w:rPr>
          <w:rFonts w:ascii="Calibri" w:hAnsi="Calibri"/>
          <w:sz w:val="20"/>
          <w:szCs w:val="20"/>
          <w:vertAlign w:val="superscript"/>
        </w:rPr>
        <w:t>nd</w:t>
      </w:r>
      <w:r w:rsidRPr="004E0ECA">
        <w:rPr>
          <w:rFonts w:ascii="Calibri" w:hAnsi="Calibri"/>
          <w:sz w:val="20"/>
          <w:szCs w:val="20"/>
        </w:rPr>
        <w:t xml:space="preserve"> line Metoclopramide 25-50mg, not 10mg</w:t>
      </w:r>
    </w:p>
    <w:p w14:paraId="38EFA494" w14:textId="77777777" w:rsidR="002D5DCA" w:rsidRPr="004E0ECA" w:rsidRDefault="002D5DCA" w:rsidP="002D5DCA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 xml:space="preserve">Lots of others, propofol –chose a class not had for rescue – RR reduction </w:t>
      </w:r>
      <w:r w:rsidR="0006109A" w:rsidRPr="004E0ECA">
        <w:rPr>
          <w:rFonts w:ascii="Calibri" w:hAnsi="Calibri"/>
          <w:sz w:val="20"/>
          <w:szCs w:val="20"/>
        </w:rPr>
        <w:t>with a class already given is the same as placebo</w:t>
      </w:r>
    </w:p>
    <w:p w14:paraId="5C8994A3" w14:textId="77777777" w:rsidR="002D5DCA" w:rsidRPr="004E0ECA" w:rsidRDefault="002D5DCA" w:rsidP="002D5DCA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Note, decreasing the risk: regional, TIVA, dose reduction with volatile.</w:t>
      </w:r>
    </w:p>
    <w:p w14:paraId="25180702" w14:textId="77777777" w:rsidR="00EE1B67" w:rsidRPr="004E0ECA" w:rsidRDefault="00EE1B67" w:rsidP="00EE1B67">
      <w:pPr>
        <w:pStyle w:val="ListParagraph"/>
        <w:ind w:left="1440"/>
        <w:rPr>
          <w:rFonts w:ascii="Calibri" w:hAnsi="Calibri"/>
          <w:sz w:val="20"/>
          <w:szCs w:val="20"/>
        </w:rPr>
      </w:pPr>
    </w:p>
    <w:p w14:paraId="25D1B0BE" w14:textId="77777777" w:rsidR="005407BD" w:rsidRPr="004E0ECA" w:rsidRDefault="005407BD" w:rsidP="00EA018D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GS 1.11 Describe a safe extubation</w:t>
      </w:r>
    </w:p>
    <w:p w14:paraId="78763AC4" w14:textId="77777777" w:rsidR="0006109A" w:rsidRPr="004E0ECA" w:rsidRDefault="0006109A" w:rsidP="0006109A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More problems with extubation than intubation (4.6 vs 12.6%)</w:t>
      </w:r>
    </w:p>
    <w:p w14:paraId="6AB977EC" w14:textId="77777777" w:rsidR="0006109A" w:rsidRPr="004E0ECA" w:rsidRDefault="0006109A" w:rsidP="0006109A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Awake or deep needs to be informed by 2 factors:</w:t>
      </w:r>
    </w:p>
    <w:p w14:paraId="683A8959" w14:textId="77777777" w:rsidR="0006109A" w:rsidRPr="004E0ECA" w:rsidRDefault="0006109A" w:rsidP="0006109A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Difficult airway in any manner?</w:t>
      </w:r>
    </w:p>
    <w:p w14:paraId="28B41BC3" w14:textId="77777777" w:rsidR="0006109A" w:rsidRPr="004E0ECA" w:rsidRDefault="0006109A" w:rsidP="0006109A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Aspiration risk?</w:t>
      </w:r>
    </w:p>
    <w:p w14:paraId="2099C80E" w14:textId="77777777" w:rsidR="0006109A" w:rsidRPr="004E0ECA" w:rsidRDefault="0006109A" w:rsidP="0006109A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If any difficulty suspected, ask – should the patient be woken?</w:t>
      </w:r>
    </w:p>
    <w:p w14:paraId="469C8E1D" w14:textId="77777777" w:rsidR="0006109A" w:rsidRPr="004E0ECA" w:rsidRDefault="0006109A" w:rsidP="0006109A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100% O2, PEEP breath (min atelectasis, blow detritus away from chords, end expiration</w:t>
      </w:r>
    </w:p>
    <w:p w14:paraId="7F04BDE1" w14:textId="77777777" w:rsidR="00EB68C9" w:rsidRPr="004E0ECA" w:rsidRDefault="00EB68C9" w:rsidP="0006109A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 xml:space="preserve">CVS response, </w:t>
      </w:r>
      <w:proofErr w:type="spellStart"/>
      <w:r w:rsidRPr="004E0ECA">
        <w:rPr>
          <w:rFonts w:ascii="Calibri" w:hAnsi="Calibri"/>
          <w:sz w:val="20"/>
          <w:szCs w:val="20"/>
        </w:rPr>
        <w:t>resp</w:t>
      </w:r>
      <w:proofErr w:type="spellEnd"/>
      <w:r w:rsidRPr="004E0ECA">
        <w:rPr>
          <w:rFonts w:ascii="Calibri" w:hAnsi="Calibri"/>
          <w:sz w:val="20"/>
          <w:szCs w:val="20"/>
        </w:rPr>
        <w:t xml:space="preserve"> disease needs to be considered, </w:t>
      </w:r>
      <w:proofErr w:type="gramStart"/>
      <w:r w:rsidRPr="004E0ECA">
        <w:rPr>
          <w:rFonts w:ascii="Calibri" w:hAnsi="Calibri"/>
          <w:sz w:val="20"/>
          <w:szCs w:val="20"/>
        </w:rPr>
        <w:t>and also</w:t>
      </w:r>
      <w:proofErr w:type="gramEnd"/>
      <w:r w:rsidRPr="004E0ECA">
        <w:rPr>
          <w:rFonts w:ascii="Calibri" w:hAnsi="Calibri"/>
          <w:sz w:val="20"/>
          <w:szCs w:val="20"/>
        </w:rPr>
        <w:t xml:space="preserve"> to look for and treat laryngospasm, </w:t>
      </w:r>
      <w:proofErr w:type="spellStart"/>
      <w:r w:rsidRPr="004E0ECA">
        <w:rPr>
          <w:rFonts w:ascii="Calibri" w:hAnsi="Calibri"/>
          <w:sz w:val="20"/>
          <w:szCs w:val="20"/>
        </w:rPr>
        <w:t>Rfx</w:t>
      </w:r>
      <w:proofErr w:type="spellEnd"/>
      <w:r w:rsidRPr="004E0ECA">
        <w:rPr>
          <w:rFonts w:ascii="Calibri" w:hAnsi="Calibri"/>
          <w:sz w:val="20"/>
          <w:szCs w:val="20"/>
        </w:rPr>
        <w:t>:</w:t>
      </w:r>
    </w:p>
    <w:p w14:paraId="73F56EA6" w14:textId="77777777" w:rsidR="00EB68C9" w:rsidRPr="004E0ECA" w:rsidRDefault="00EB68C9" w:rsidP="00EB68C9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Airway irritation/obstruction</w:t>
      </w:r>
    </w:p>
    <w:p w14:paraId="29A2D7B5" w14:textId="77777777" w:rsidR="00EB68C9" w:rsidRPr="004E0ECA" w:rsidRDefault="00EB68C9" w:rsidP="00EB68C9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Secretions/blood</w:t>
      </w:r>
    </w:p>
    <w:p w14:paraId="673A08E7" w14:textId="77777777" w:rsidR="00EB68C9" w:rsidRPr="004E0ECA" w:rsidRDefault="00EB68C9" w:rsidP="00EB68C9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Light anaesthesia</w:t>
      </w:r>
    </w:p>
    <w:p w14:paraId="38747111" w14:textId="77777777" w:rsidR="00EB68C9" w:rsidRPr="004E0ECA" w:rsidRDefault="00EB68C9" w:rsidP="00EB68C9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Regurgitation</w:t>
      </w:r>
    </w:p>
    <w:p w14:paraId="66226946" w14:textId="77777777" w:rsidR="00EE1B67" w:rsidRPr="004E0ECA" w:rsidRDefault="00EE1B67" w:rsidP="00EE1B67">
      <w:pPr>
        <w:pStyle w:val="ListParagraph"/>
        <w:ind w:left="2160"/>
        <w:rPr>
          <w:rFonts w:ascii="Calibri" w:hAnsi="Calibri"/>
          <w:sz w:val="20"/>
          <w:szCs w:val="20"/>
        </w:rPr>
      </w:pPr>
    </w:p>
    <w:p w14:paraId="512D82F0" w14:textId="77777777" w:rsidR="004E0ECA" w:rsidRDefault="004E0ECA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br w:type="page"/>
      </w:r>
    </w:p>
    <w:p w14:paraId="5A05093A" w14:textId="77777777" w:rsidR="005407BD" w:rsidRPr="004E0ECA" w:rsidRDefault="005407BD" w:rsidP="00EA018D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lastRenderedPageBreak/>
        <w:t>GS 1.12 Strategy for failure to wake from anaesthesia</w:t>
      </w:r>
    </w:p>
    <w:p w14:paraId="0E3FE052" w14:textId="77777777" w:rsidR="005407BD" w:rsidRPr="004E0ECA" w:rsidRDefault="00771D65" w:rsidP="005407BD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Pharmacological – relating to patient variation/illness (changes in pharmacodynamics)</w:t>
      </w:r>
    </w:p>
    <w:p w14:paraId="438D72FE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Opiates</w:t>
      </w:r>
    </w:p>
    <w:p w14:paraId="248165DF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Benzos</w:t>
      </w:r>
    </w:p>
    <w:p w14:paraId="132DEF8F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NMBs</w:t>
      </w:r>
    </w:p>
    <w:p w14:paraId="644C08BB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IV hypnotics</w:t>
      </w:r>
    </w:p>
    <w:p w14:paraId="53F7C839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Volatiles</w:t>
      </w:r>
    </w:p>
    <w:p w14:paraId="63C907D3" w14:textId="77777777" w:rsidR="00771D65" w:rsidRPr="004E0ECA" w:rsidRDefault="00771D65" w:rsidP="00771D65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Biochemical</w:t>
      </w:r>
    </w:p>
    <w:p w14:paraId="323E10AE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Hypo/hyperglycaemia</w:t>
      </w:r>
    </w:p>
    <w:p w14:paraId="1212B3B0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Hypo/hypernatremia</w:t>
      </w:r>
    </w:p>
    <w:p w14:paraId="72841D8F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Uraemia</w:t>
      </w:r>
    </w:p>
    <w:p w14:paraId="516EE0BF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Hypothermia</w:t>
      </w:r>
    </w:p>
    <w:p w14:paraId="25B0EB83" w14:textId="77777777" w:rsidR="00771D65" w:rsidRPr="004E0ECA" w:rsidRDefault="00771D65" w:rsidP="00771D65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Systems disease</w:t>
      </w:r>
    </w:p>
    <w:p w14:paraId="0F47B831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Respiratory failure</w:t>
      </w:r>
    </w:p>
    <w:p w14:paraId="4D71DABC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MI/CCF</w:t>
      </w:r>
    </w:p>
    <w:p w14:paraId="23E13B36" w14:textId="77777777" w:rsidR="00771D65" w:rsidRPr="004E0ECA" w:rsidRDefault="00771D65" w:rsidP="00771D65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Neurological</w:t>
      </w:r>
    </w:p>
    <w:p w14:paraId="12A94316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Stroke</w:t>
      </w:r>
    </w:p>
    <w:p w14:paraId="027F6CE0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Central anticholinergic syndrome</w:t>
      </w:r>
    </w:p>
    <w:p w14:paraId="6D808498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Dissociative coma</w:t>
      </w:r>
    </w:p>
    <w:p w14:paraId="766BB666" w14:textId="77777777" w:rsidR="00771D65" w:rsidRPr="004E0ECA" w:rsidRDefault="00771D65" w:rsidP="00771D65">
      <w:pPr>
        <w:pStyle w:val="ListParagraph"/>
        <w:numPr>
          <w:ilvl w:val="1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Approach?</w:t>
      </w:r>
    </w:p>
    <w:p w14:paraId="1D416FA7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ABC/100% O2, protect airway</w:t>
      </w:r>
    </w:p>
    <w:p w14:paraId="7265123C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proofErr w:type="gramStart"/>
      <w:r w:rsidRPr="004E0ECA">
        <w:rPr>
          <w:rFonts w:ascii="Calibri" w:hAnsi="Calibri"/>
          <w:sz w:val="20"/>
          <w:szCs w:val="20"/>
        </w:rPr>
        <w:t>GCS?,</w:t>
      </w:r>
      <w:proofErr w:type="gramEnd"/>
      <w:r w:rsidRPr="004E0ECA">
        <w:rPr>
          <w:rFonts w:ascii="Calibri" w:hAnsi="Calibri"/>
          <w:sz w:val="20"/>
          <w:szCs w:val="20"/>
        </w:rPr>
        <w:t xml:space="preserve"> stimulate patient</w:t>
      </w:r>
    </w:p>
    <w:p w14:paraId="2A798D52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Review chart – specific antidote?</w:t>
      </w:r>
    </w:p>
    <w:p w14:paraId="142F50A4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BGL - treat</w:t>
      </w:r>
    </w:p>
    <w:p w14:paraId="763572D9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ABG – treat Na/O2/CO2</w:t>
      </w:r>
    </w:p>
    <w:p w14:paraId="7B83F5C6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Temp?</w:t>
      </w:r>
    </w:p>
    <w:p w14:paraId="1078B261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Examine patient – look for neuro/localising signs</w:t>
      </w:r>
    </w:p>
    <w:p w14:paraId="015FFA0D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Full formal bloods</w:t>
      </w:r>
    </w:p>
    <w:p w14:paraId="5A086AC9" w14:textId="77777777" w:rsidR="00771D65" w:rsidRPr="004E0ECA" w:rsidRDefault="00771D65" w:rsidP="00771D65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 xml:space="preserve">If still no answer – consider, where patient should be treated, specialties that need to be involved, other </w:t>
      </w:r>
      <w:proofErr w:type="gramStart"/>
      <w:r w:rsidRPr="004E0ECA">
        <w:rPr>
          <w:rFonts w:ascii="Calibri" w:hAnsi="Calibri"/>
          <w:sz w:val="20"/>
          <w:szCs w:val="20"/>
        </w:rPr>
        <w:t>tests,  .</w:t>
      </w:r>
      <w:proofErr w:type="gramEnd"/>
      <w:r w:rsidRPr="004E0ECA">
        <w:rPr>
          <w:rFonts w:ascii="Calibri" w:hAnsi="Calibri"/>
          <w:sz w:val="20"/>
          <w:szCs w:val="20"/>
        </w:rPr>
        <w:t xml:space="preserve">  . . . failing that, get some subspecialist to </w:t>
      </w:r>
      <w:proofErr w:type="spellStart"/>
      <w:r w:rsidRPr="004E0ECA">
        <w:rPr>
          <w:rFonts w:ascii="Calibri" w:hAnsi="Calibri"/>
          <w:sz w:val="20"/>
          <w:szCs w:val="20"/>
        </w:rPr>
        <w:t>Dx</w:t>
      </w:r>
      <w:proofErr w:type="spellEnd"/>
      <w:r w:rsidRPr="004E0ECA">
        <w:rPr>
          <w:rFonts w:ascii="Calibri" w:hAnsi="Calibri"/>
          <w:sz w:val="20"/>
          <w:szCs w:val="20"/>
        </w:rPr>
        <w:t xml:space="preserve"> dissociative coma, or </w:t>
      </w:r>
      <w:proofErr w:type="spellStart"/>
      <w:r w:rsidRPr="004E0ECA">
        <w:rPr>
          <w:rFonts w:ascii="Calibri" w:hAnsi="Calibri"/>
          <w:sz w:val="20"/>
          <w:szCs w:val="20"/>
        </w:rPr>
        <w:t>y’know</w:t>
      </w:r>
      <w:proofErr w:type="spellEnd"/>
      <w:r w:rsidRPr="004E0ECA">
        <w:rPr>
          <w:rFonts w:ascii="Calibri" w:hAnsi="Calibri"/>
          <w:sz w:val="20"/>
          <w:szCs w:val="20"/>
        </w:rPr>
        <w:t>, brain death</w:t>
      </w:r>
      <w:r w:rsidR="0073227F" w:rsidRPr="004E0ECA">
        <w:rPr>
          <w:rFonts w:ascii="Calibri" w:hAnsi="Calibri"/>
          <w:sz w:val="20"/>
          <w:szCs w:val="20"/>
        </w:rPr>
        <w:t>.</w:t>
      </w:r>
    </w:p>
    <w:p w14:paraId="0FF5855A" w14:textId="77777777" w:rsidR="0073227F" w:rsidRPr="004E0ECA" w:rsidRDefault="005407BD" w:rsidP="0073227F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GS 1.13 Strategy for post op delirium</w:t>
      </w:r>
    </w:p>
    <w:p w14:paraId="590994F3" w14:textId="77777777" w:rsidR="0073227F" w:rsidRPr="004E0ECA" w:rsidRDefault="0073227F" w:rsidP="0073227F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 xml:space="preserve">Same as for regular run-o-the-mill </w:t>
      </w:r>
      <w:r w:rsidR="000D27F9" w:rsidRPr="004E0ECA">
        <w:rPr>
          <w:rFonts w:ascii="Calibri" w:hAnsi="Calibri"/>
          <w:sz w:val="20"/>
          <w:szCs w:val="20"/>
        </w:rPr>
        <w:t>delirium</w:t>
      </w:r>
    </w:p>
    <w:p w14:paraId="5FA42483" w14:textId="77777777" w:rsidR="005407BD" w:rsidRPr="004E0ECA" w:rsidRDefault="005407BD" w:rsidP="00EA018D">
      <w:pPr>
        <w:pStyle w:val="ListParagraph"/>
        <w:numPr>
          <w:ilvl w:val="0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 xml:space="preserve">GS 1.14 Post op pain </w:t>
      </w:r>
      <w:proofErr w:type="spellStart"/>
      <w:r w:rsidRPr="004E0ECA">
        <w:rPr>
          <w:rFonts w:ascii="Calibri" w:hAnsi="Calibri"/>
          <w:sz w:val="20"/>
          <w:szCs w:val="20"/>
        </w:rPr>
        <w:t>Mx</w:t>
      </w:r>
      <w:proofErr w:type="spellEnd"/>
      <w:r w:rsidRPr="004E0ECA">
        <w:rPr>
          <w:rFonts w:ascii="Calibri" w:hAnsi="Calibri"/>
          <w:sz w:val="20"/>
          <w:szCs w:val="20"/>
        </w:rPr>
        <w:t xml:space="preserve"> </w:t>
      </w:r>
      <w:proofErr w:type="spellStart"/>
      <w:r w:rsidRPr="004E0ECA">
        <w:rPr>
          <w:rFonts w:ascii="Calibri" w:hAnsi="Calibri"/>
          <w:sz w:val="20"/>
          <w:szCs w:val="20"/>
        </w:rPr>
        <w:t>strat</w:t>
      </w:r>
      <w:proofErr w:type="spellEnd"/>
      <w:r w:rsidRPr="004E0ECA">
        <w:rPr>
          <w:rFonts w:ascii="Calibri" w:hAnsi="Calibri"/>
          <w:sz w:val="20"/>
          <w:szCs w:val="20"/>
        </w:rPr>
        <w:t>.</w:t>
      </w:r>
    </w:p>
    <w:p w14:paraId="3719A78F" w14:textId="77777777" w:rsidR="0073227F" w:rsidRPr="004E0ECA" w:rsidRDefault="0073227F" w:rsidP="0073227F">
      <w:pPr>
        <w:pStyle w:val="ListParagraph"/>
        <w:numPr>
          <w:ilvl w:val="2"/>
          <w:numId w:val="1"/>
        </w:numPr>
        <w:rPr>
          <w:rFonts w:ascii="Calibri" w:hAnsi="Calibri"/>
          <w:sz w:val="20"/>
          <w:szCs w:val="20"/>
        </w:rPr>
      </w:pPr>
      <w:r w:rsidRPr="004E0ECA">
        <w:rPr>
          <w:rFonts w:ascii="Calibri" w:hAnsi="Calibri"/>
          <w:sz w:val="20"/>
          <w:szCs w:val="20"/>
        </w:rPr>
        <w:t>Gee-whiz! Pain?</w:t>
      </w:r>
      <w:bookmarkStart w:id="0" w:name="_GoBack"/>
      <w:bookmarkEnd w:id="0"/>
    </w:p>
    <w:sectPr w:rsidR="0073227F" w:rsidRPr="004E0ECA" w:rsidSect="004E0E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46C95"/>
    <w:multiLevelType w:val="hybridMultilevel"/>
    <w:tmpl w:val="A08462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18D"/>
    <w:rsid w:val="0006109A"/>
    <w:rsid w:val="00095023"/>
    <w:rsid w:val="000D27F9"/>
    <w:rsid w:val="000E1795"/>
    <w:rsid w:val="001F6381"/>
    <w:rsid w:val="002D5DCA"/>
    <w:rsid w:val="004A7694"/>
    <w:rsid w:val="004E0ECA"/>
    <w:rsid w:val="004F7BAE"/>
    <w:rsid w:val="005407BD"/>
    <w:rsid w:val="0073227F"/>
    <w:rsid w:val="00771D65"/>
    <w:rsid w:val="008600DB"/>
    <w:rsid w:val="0096586C"/>
    <w:rsid w:val="00AC04DF"/>
    <w:rsid w:val="00B543F8"/>
    <w:rsid w:val="00DD5249"/>
    <w:rsid w:val="00E265E0"/>
    <w:rsid w:val="00EA018D"/>
    <w:rsid w:val="00EB68C9"/>
    <w:rsid w:val="00EE1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4777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01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0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4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5</Pages>
  <Words>1176</Words>
  <Characters>6705</Characters>
  <Application>Microsoft Macintosh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MDMD</dc:creator>
  <cp:lastModifiedBy>Microsoft Office User</cp:lastModifiedBy>
  <cp:revision>6</cp:revision>
  <dcterms:created xsi:type="dcterms:W3CDTF">2014-07-14T11:16:00Z</dcterms:created>
  <dcterms:modified xsi:type="dcterms:W3CDTF">2017-10-15T01:22:00Z</dcterms:modified>
</cp:coreProperties>
</file>